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6B34" w14:textId="77777777" w:rsidR="00BF4E79" w:rsidRPr="00FF4D52" w:rsidRDefault="00BF4E79" w:rsidP="00FF4D52">
      <w:pPr>
        <w:pStyle w:val="Heading2"/>
        <w:spacing w:line="360" w:lineRule="atLeast"/>
        <w:rPr>
          <w:rFonts w:cs="Arial"/>
          <w:color w:val="538135" w:themeColor="accent6" w:themeShade="BF"/>
        </w:rPr>
      </w:pPr>
      <w:bookmarkStart w:id="0" w:name="_Toc121814615"/>
      <w:bookmarkStart w:id="1" w:name="_Hlk140570639"/>
      <w:bookmarkStart w:id="2" w:name="_Hlk140570666"/>
      <w:r w:rsidRPr="00FF4D52">
        <w:rPr>
          <w:rFonts w:cs="Arial"/>
          <w:color w:val="538135" w:themeColor="accent6" w:themeShade="BF"/>
        </w:rPr>
        <w:t>Chaplaincy staff</w:t>
      </w:r>
      <w:r w:rsidR="00227F6B" w:rsidRPr="00FF4D52">
        <w:rPr>
          <w:rFonts w:cs="Arial"/>
          <w:color w:val="538135" w:themeColor="accent6" w:themeShade="BF"/>
        </w:rPr>
        <w:t>ing</w:t>
      </w:r>
      <w:r w:rsidRPr="00FF4D52">
        <w:rPr>
          <w:rFonts w:cs="Arial"/>
          <w:color w:val="538135" w:themeColor="accent6" w:themeShade="BF"/>
        </w:rPr>
        <w:t xml:space="preserve"> ratios</w:t>
      </w:r>
      <w:bookmarkEnd w:id="0"/>
      <w:r w:rsidR="00227F6B" w:rsidRPr="00FF4D52">
        <w:rPr>
          <w:rFonts w:cs="Arial"/>
          <w:color w:val="538135" w:themeColor="accent6" w:themeShade="BF"/>
        </w:rPr>
        <w:t>: a framework to support workforce planning</w:t>
      </w:r>
      <w:bookmarkEnd w:id="1"/>
    </w:p>
    <w:bookmarkEnd w:id="2"/>
    <w:p w14:paraId="68C57172" w14:textId="419A94B8" w:rsidR="00227F6B" w:rsidRPr="00FF4D52" w:rsidRDefault="00227F6B" w:rsidP="00FF4D52">
      <w:pPr>
        <w:pStyle w:val="BodyTextNoSpacing"/>
        <w:rPr>
          <w:rFonts w:cs="Arial"/>
        </w:rPr>
      </w:pPr>
      <w:r w:rsidRPr="00FF4D52">
        <w:rPr>
          <w:rFonts w:cs="Arial"/>
        </w:rPr>
        <w:t xml:space="preserve">This </w:t>
      </w:r>
      <w:r w:rsidR="00167C0D" w:rsidRPr="00FF4D52">
        <w:rPr>
          <w:rFonts w:cs="Arial"/>
        </w:rPr>
        <w:t xml:space="preserve">staffing </w:t>
      </w:r>
      <w:r w:rsidRPr="00FF4D52">
        <w:rPr>
          <w:rFonts w:cs="Arial"/>
        </w:rPr>
        <w:t xml:space="preserve">framework is produced to compliment the </w:t>
      </w:r>
      <w:r w:rsidR="0077028B" w:rsidRPr="00FF4D52">
        <w:rPr>
          <w:rFonts w:cs="Arial"/>
        </w:rPr>
        <w:t xml:space="preserve">2023 </w:t>
      </w:r>
      <w:r w:rsidRPr="00FF4D52">
        <w:rPr>
          <w:rFonts w:cs="Arial"/>
        </w:rPr>
        <w:t xml:space="preserve">“NHS Chaplaincy: Guidelines for NHS managers on pastoral, spiritual and religious care”. It is issued by the </w:t>
      </w:r>
      <w:r w:rsidR="00FE3AD4" w:rsidRPr="00FF4D52">
        <w:rPr>
          <w:rFonts w:cs="Arial"/>
        </w:rPr>
        <w:t>chaplaincy bodies sit</w:t>
      </w:r>
      <w:r w:rsidR="00BD790E" w:rsidRPr="00FF4D52">
        <w:rPr>
          <w:rFonts w:cs="Arial"/>
        </w:rPr>
        <w:t>ting</w:t>
      </w:r>
      <w:r w:rsidR="00FE3AD4" w:rsidRPr="00FF4D52">
        <w:rPr>
          <w:rFonts w:cs="Arial"/>
        </w:rPr>
        <w:t xml:space="preserve"> on </w:t>
      </w:r>
      <w:r w:rsidR="00167C0D" w:rsidRPr="00FF4D52">
        <w:rPr>
          <w:rFonts w:cs="Arial"/>
        </w:rPr>
        <w:t xml:space="preserve">of the </w:t>
      </w:r>
      <w:r w:rsidR="00A35C6D" w:rsidRPr="00FF4D52">
        <w:rPr>
          <w:rFonts w:cs="Arial"/>
        </w:rPr>
        <w:t>Chaplaincy Forum</w:t>
      </w:r>
      <w:r w:rsidR="00167C0D" w:rsidRPr="00FF4D52">
        <w:rPr>
          <w:rFonts w:cs="Arial"/>
        </w:rPr>
        <w:t xml:space="preserve"> for Pastoral, Religious and Spiritual </w:t>
      </w:r>
      <w:r w:rsidR="00C66776">
        <w:rPr>
          <w:rFonts w:cs="Arial"/>
        </w:rPr>
        <w:t>C</w:t>
      </w:r>
      <w:r w:rsidR="00167C0D" w:rsidRPr="00FF4D52">
        <w:rPr>
          <w:rFonts w:cs="Arial"/>
        </w:rPr>
        <w:t>are in Health.</w:t>
      </w:r>
      <w:r w:rsidR="00167C0D" w:rsidRPr="00FF4D52">
        <w:rPr>
          <w:rStyle w:val="FootnoteReference"/>
          <w:rFonts w:cs="Arial"/>
        </w:rPr>
        <w:footnoteReference w:id="1"/>
      </w:r>
    </w:p>
    <w:p w14:paraId="799E0E28" w14:textId="77777777" w:rsidR="00227F6B" w:rsidRPr="00FF4D52" w:rsidRDefault="00227F6B" w:rsidP="00FF4D52">
      <w:pPr>
        <w:pStyle w:val="BodyTextNoSpacing"/>
        <w:rPr>
          <w:rFonts w:cs="Arial"/>
        </w:rPr>
      </w:pPr>
    </w:p>
    <w:p w14:paraId="3F921C60" w14:textId="486D85BB" w:rsidR="00955EF6" w:rsidRPr="00FF4D52" w:rsidRDefault="00227F6B" w:rsidP="00FF4D52">
      <w:pPr>
        <w:pStyle w:val="BodyTextNoSpacing"/>
        <w:rPr>
          <w:rFonts w:cs="Arial"/>
        </w:rPr>
      </w:pPr>
      <w:r w:rsidRPr="00FF4D52">
        <w:rPr>
          <w:rFonts w:cs="Arial"/>
        </w:rPr>
        <w:t xml:space="preserve">The </w:t>
      </w:r>
      <w:r w:rsidR="00A35C6D" w:rsidRPr="00FF4D52">
        <w:rPr>
          <w:rFonts w:cs="Arial"/>
        </w:rPr>
        <w:t xml:space="preserve">2023 </w:t>
      </w:r>
      <w:r w:rsidRPr="00FF4D52">
        <w:rPr>
          <w:rFonts w:cs="Arial"/>
        </w:rPr>
        <w:t xml:space="preserve">guidelines </w:t>
      </w:r>
      <w:r w:rsidR="00AA0CAD" w:rsidRPr="00FF4D52">
        <w:rPr>
          <w:rFonts w:cs="Arial"/>
        </w:rPr>
        <w:t xml:space="preserve">are </w:t>
      </w:r>
      <w:r w:rsidRPr="00FF4D52">
        <w:rPr>
          <w:rFonts w:cs="Arial"/>
        </w:rPr>
        <w:t>focus</w:t>
      </w:r>
      <w:r w:rsidR="00AA0CAD" w:rsidRPr="00FF4D52">
        <w:rPr>
          <w:rFonts w:cs="Arial"/>
        </w:rPr>
        <w:t>sed</w:t>
      </w:r>
      <w:r w:rsidRPr="00FF4D52">
        <w:rPr>
          <w:rFonts w:cs="Arial"/>
        </w:rPr>
        <w:t xml:space="preserve"> on high-quality pastoral and spiritual care that is delivered for </w:t>
      </w:r>
      <w:r w:rsidRPr="00FF4D52">
        <w:rPr>
          <w:rFonts w:cs="Arial"/>
          <w:i/>
        </w:rPr>
        <w:t>all</w:t>
      </w:r>
      <w:r w:rsidRPr="00FF4D52">
        <w:rPr>
          <w:rFonts w:cs="Arial"/>
        </w:rPr>
        <w:t xml:space="preserve">. </w:t>
      </w:r>
      <w:r w:rsidR="0097003E" w:rsidRPr="00FF4D52">
        <w:rPr>
          <w:rFonts w:cs="Arial"/>
        </w:rPr>
        <w:t xml:space="preserve">Such quality and breadth of </w:t>
      </w:r>
      <w:r w:rsidRPr="00FF4D52">
        <w:rPr>
          <w:rFonts w:cs="Arial"/>
        </w:rPr>
        <w:t xml:space="preserve">care </w:t>
      </w:r>
      <w:r w:rsidR="0097003E" w:rsidRPr="00FF4D52">
        <w:rPr>
          <w:rFonts w:cs="Arial"/>
        </w:rPr>
        <w:t xml:space="preserve">is </w:t>
      </w:r>
      <w:r w:rsidR="00AA0CAD" w:rsidRPr="00FF4D52">
        <w:rPr>
          <w:rFonts w:cs="Arial"/>
        </w:rPr>
        <w:t xml:space="preserve">only </w:t>
      </w:r>
      <w:r w:rsidR="00A35C6D" w:rsidRPr="00FF4D52">
        <w:rPr>
          <w:rFonts w:cs="Arial"/>
        </w:rPr>
        <w:t xml:space="preserve">achieved when </w:t>
      </w:r>
      <w:r w:rsidR="0097003E" w:rsidRPr="00FF4D52">
        <w:rPr>
          <w:rFonts w:cs="Arial"/>
        </w:rPr>
        <w:t xml:space="preserve">NHS </w:t>
      </w:r>
      <w:r w:rsidR="00221188">
        <w:rPr>
          <w:rFonts w:cs="Arial"/>
        </w:rPr>
        <w:t>t</w:t>
      </w:r>
      <w:r w:rsidR="0097003E" w:rsidRPr="00FF4D52">
        <w:rPr>
          <w:rFonts w:cs="Arial"/>
        </w:rPr>
        <w:t xml:space="preserve">rusts </w:t>
      </w:r>
      <w:r w:rsidRPr="00FF4D52">
        <w:rPr>
          <w:rFonts w:cs="Arial"/>
        </w:rPr>
        <w:t>hav</w:t>
      </w:r>
      <w:r w:rsidR="00A35C6D" w:rsidRPr="00FF4D52">
        <w:rPr>
          <w:rFonts w:cs="Arial"/>
        </w:rPr>
        <w:t>e</w:t>
      </w:r>
      <w:r w:rsidRPr="00FF4D52">
        <w:rPr>
          <w:rFonts w:cs="Arial"/>
        </w:rPr>
        <w:t xml:space="preserve"> appropriate </w:t>
      </w:r>
      <w:r w:rsidR="00AA0CAD" w:rsidRPr="00FF4D52">
        <w:rPr>
          <w:rFonts w:cs="Arial"/>
        </w:rPr>
        <w:t xml:space="preserve">chaplaincy </w:t>
      </w:r>
      <w:r w:rsidRPr="00FF4D52">
        <w:rPr>
          <w:rFonts w:cs="Arial"/>
        </w:rPr>
        <w:t>leadership structures and a</w:t>
      </w:r>
      <w:r w:rsidR="00167C0D" w:rsidRPr="00FF4D52">
        <w:rPr>
          <w:rFonts w:cs="Arial"/>
        </w:rPr>
        <w:t xml:space="preserve">n adequately resourced </w:t>
      </w:r>
      <w:r w:rsidRPr="00FF4D52">
        <w:rPr>
          <w:rFonts w:cs="Arial"/>
        </w:rPr>
        <w:t>workforce. Th</w:t>
      </w:r>
      <w:r w:rsidR="00A35C6D" w:rsidRPr="00FF4D52">
        <w:rPr>
          <w:rFonts w:cs="Arial"/>
        </w:rPr>
        <w:t>e</w:t>
      </w:r>
      <w:r w:rsidR="00AA0CAD" w:rsidRPr="00FF4D52">
        <w:rPr>
          <w:rFonts w:cs="Arial"/>
        </w:rPr>
        <w:t>y</w:t>
      </w:r>
      <w:r w:rsidRPr="00FF4D52">
        <w:rPr>
          <w:rFonts w:cs="Arial"/>
        </w:rPr>
        <w:t xml:space="preserve"> make it clear that </w:t>
      </w:r>
      <w:r w:rsidR="00221188">
        <w:rPr>
          <w:rFonts w:cs="Arial"/>
        </w:rPr>
        <w:t>t</w:t>
      </w:r>
      <w:r w:rsidR="0097003E" w:rsidRPr="00FF4D52">
        <w:rPr>
          <w:rFonts w:cs="Arial"/>
        </w:rPr>
        <w:t>rusts</w:t>
      </w:r>
      <w:r w:rsidRPr="00FF4D52">
        <w:rPr>
          <w:rFonts w:cs="Arial"/>
        </w:rPr>
        <w:t xml:space="preserve">, in </w:t>
      </w:r>
      <w:r w:rsidR="00AA0CAD" w:rsidRPr="00FF4D52">
        <w:rPr>
          <w:rFonts w:cs="Arial"/>
        </w:rPr>
        <w:t xml:space="preserve">work plans </w:t>
      </w:r>
      <w:r w:rsidRPr="00FF4D52">
        <w:rPr>
          <w:rFonts w:cs="Arial"/>
        </w:rPr>
        <w:t xml:space="preserve">and </w:t>
      </w:r>
      <w:r w:rsidR="00AA0CAD" w:rsidRPr="00FF4D52">
        <w:rPr>
          <w:rFonts w:cs="Arial"/>
        </w:rPr>
        <w:t xml:space="preserve">with </w:t>
      </w:r>
      <w:r w:rsidRPr="00FF4D52">
        <w:rPr>
          <w:rFonts w:cs="Arial"/>
        </w:rPr>
        <w:t>individual job plan</w:t>
      </w:r>
      <w:r w:rsidR="00A35C6D" w:rsidRPr="00FF4D52">
        <w:rPr>
          <w:rFonts w:cs="Arial"/>
        </w:rPr>
        <w:t>ning</w:t>
      </w:r>
      <w:r w:rsidR="00221188">
        <w:rPr>
          <w:rFonts w:cs="Arial"/>
        </w:rPr>
        <w:t>,</w:t>
      </w:r>
      <w:r w:rsidRPr="00FF4D52">
        <w:rPr>
          <w:rFonts w:cs="Arial"/>
        </w:rPr>
        <w:t xml:space="preserve"> </w:t>
      </w:r>
      <w:r w:rsidR="00F905D6" w:rsidRPr="00FF4D52">
        <w:rPr>
          <w:rFonts w:cs="Arial"/>
        </w:rPr>
        <w:t xml:space="preserve">must </w:t>
      </w:r>
      <w:r w:rsidRPr="00FF4D52">
        <w:rPr>
          <w:rFonts w:cs="Arial"/>
        </w:rPr>
        <w:t>ensure capacity is in place for direct care (patients, relatives</w:t>
      </w:r>
      <w:r w:rsidR="0097003E" w:rsidRPr="00FF4D52">
        <w:rPr>
          <w:rFonts w:cs="Arial"/>
        </w:rPr>
        <w:t xml:space="preserve"> and</w:t>
      </w:r>
      <w:r w:rsidRPr="00FF4D52">
        <w:rPr>
          <w:rFonts w:cs="Arial"/>
        </w:rPr>
        <w:t xml:space="preserve"> staff) </w:t>
      </w:r>
      <w:r w:rsidRPr="00FF4D52">
        <w:rPr>
          <w:rFonts w:cs="Arial"/>
          <w:i/>
        </w:rPr>
        <w:t>as well as the wider expectations of any profession in healthcare</w:t>
      </w:r>
      <w:r w:rsidR="00A35C6D" w:rsidRPr="00FF4D52">
        <w:rPr>
          <w:rFonts w:cs="Arial"/>
          <w:i/>
        </w:rPr>
        <w:t xml:space="preserve">, </w:t>
      </w:r>
      <w:r w:rsidR="00F905D6" w:rsidRPr="00FF4D52">
        <w:rPr>
          <w:rFonts w:cs="Arial"/>
        </w:rPr>
        <w:t xml:space="preserve">such as </w:t>
      </w:r>
      <w:r w:rsidRPr="00FF4D52">
        <w:rPr>
          <w:rFonts w:cs="Arial"/>
        </w:rPr>
        <w:t>capacity to give and receive training, liai</w:t>
      </w:r>
      <w:r w:rsidR="00A35C6D" w:rsidRPr="00FF4D52">
        <w:rPr>
          <w:rFonts w:cs="Arial"/>
        </w:rPr>
        <w:t>son</w:t>
      </w:r>
      <w:r w:rsidRPr="00FF4D52">
        <w:rPr>
          <w:rFonts w:cs="Arial"/>
        </w:rPr>
        <w:t xml:space="preserve"> with external and internal groups, attend</w:t>
      </w:r>
      <w:r w:rsidR="00AA0CAD" w:rsidRPr="00FF4D52">
        <w:rPr>
          <w:rFonts w:cs="Arial"/>
        </w:rPr>
        <w:t>ing</w:t>
      </w:r>
      <w:r w:rsidRPr="00FF4D52">
        <w:rPr>
          <w:rFonts w:cs="Arial"/>
        </w:rPr>
        <w:t xml:space="preserve"> relevant MDTs, provid</w:t>
      </w:r>
      <w:r w:rsidR="00A35C6D" w:rsidRPr="00FF4D52">
        <w:rPr>
          <w:rFonts w:cs="Arial"/>
        </w:rPr>
        <w:t>ing</w:t>
      </w:r>
      <w:r w:rsidRPr="00FF4D52">
        <w:rPr>
          <w:rFonts w:cs="Arial"/>
        </w:rPr>
        <w:t xml:space="preserve"> on-call structures, participat</w:t>
      </w:r>
      <w:r w:rsidR="00A35C6D" w:rsidRPr="00FF4D52">
        <w:rPr>
          <w:rFonts w:cs="Arial"/>
        </w:rPr>
        <w:t>ion</w:t>
      </w:r>
      <w:r w:rsidRPr="00FF4D52">
        <w:rPr>
          <w:rFonts w:cs="Arial"/>
        </w:rPr>
        <w:t xml:space="preserve"> in research and audit and so on (</w:t>
      </w:r>
      <w:r w:rsidR="00F905D6" w:rsidRPr="00FF4D52">
        <w:rPr>
          <w:rFonts w:cs="Arial"/>
        </w:rPr>
        <w:t>a</w:t>
      </w:r>
      <w:r w:rsidR="0097003E" w:rsidRPr="00FF4D52">
        <w:rPr>
          <w:rFonts w:cs="Arial"/>
        </w:rPr>
        <w:t xml:space="preserve"> </w:t>
      </w:r>
      <w:r w:rsidRPr="00FF4D52">
        <w:rPr>
          <w:rFonts w:cs="Arial"/>
        </w:rPr>
        <w:t>full list is found on p.15</w:t>
      </w:r>
      <w:r w:rsidR="00A35C6D" w:rsidRPr="00FF4D52">
        <w:rPr>
          <w:rFonts w:cs="Arial"/>
        </w:rPr>
        <w:t xml:space="preserve"> of the guidelines</w:t>
      </w:r>
      <w:r w:rsidRPr="00FF4D52">
        <w:rPr>
          <w:rFonts w:cs="Arial"/>
        </w:rPr>
        <w:t>)</w:t>
      </w:r>
      <w:r w:rsidR="00221188">
        <w:rPr>
          <w:rFonts w:cs="Arial"/>
        </w:rPr>
        <w:t>.</w:t>
      </w:r>
    </w:p>
    <w:p w14:paraId="635774DA" w14:textId="77777777" w:rsidR="00484AA2" w:rsidRPr="00FF4D52" w:rsidRDefault="00484AA2" w:rsidP="00FF4D52">
      <w:pPr>
        <w:pStyle w:val="BodyTextNoSpacing"/>
        <w:rPr>
          <w:rFonts w:cs="Arial"/>
        </w:rPr>
      </w:pPr>
    </w:p>
    <w:p w14:paraId="2D2AB134" w14:textId="77777777" w:rsidR="00955EF6" w:rsidRPr="00FF4D52" w:rsidRDefault="00955EF6" w:rsidP="00FF4D52">
      <w:pPr>
        <w:pStyle w:val="Heading2"/>
        <w:spacing w:line="360" w:lineRule="atLeast"/>
        <w:rPr>
          <w:rFonts w:cs="Arial"/>
          <w:color w:val="538135" w:themeColor="accent6" w:themeShade="BF"/>
          <w:sz w:val="28"/>
        </w:rPr>
      </w:pPr>
      <w:r w:rsidRPr="00FF4D52">
        <w:rPr>
          <w:rFonts w:cs="Arial"/>
          <w:color w:val="538135" w:themeColor="accent6" w:themeShade="BF"/>
          <w:sz w:val="28"/>
        </w:rPr>
        <w:t xml:space="preserve">Why staffing ratios </w:t>
      </w:r>
      <w:r w:rsidR="00A57AF7" w:rsidRPr="00FF4D52">
        <w:rPr>
          <w:rFonts w:cs="Arial"/>
          <w:color w:val="538135" w:themeColor="accent6" w:themeShade="BF"/>
          <w:sz w:val="28"/>
        </w:rPr>
        <w:t>are</w:t>
      </w:r>
      <w:r w:rsidRPr="00FF4D52">
        <w:rPr>
          <w:rFonts w:cs="Arial"/>
          <w:color w:val="538135" w:themeColor="accent6" w:themeShade="BF"/>
          <w:sz w:val="28"/>
        </w:rPr>
        <w:t xml:space="preserve"> useful</w:t>
      </w:r>
    </w:p>
    <w:p w14:paraId="59DCE1D8" w14:textId="1DE02DAE" w:rsidR="00955EF6" w:rsidRPr="00FF4D52" w:rsidRDefault="00FE3AD4" w:rsidP="00FF4D52">
      <w:pPr>
        <w:pStyle w:val="BodyTextNoSpacing"/>
        <w:rPr>
          <w:rFonts w:cs="Arial"/>
        </w:rPr>
      </w:pPr>
      <w:r w:rsidRPr="00FF4D52">
        <w:rPr>
          <w:rFonts w:cs="Arial"/>
        </w:rPr>
        <w:t>W</w:t>
      </w:r>
      <w:r w:rsidR="00A35C6D" w:rsidRPr="00FF4D52">
        <w:rPr>
          <w:rFonts w:cs="Arial"/>
        </w:rPr>
        <w:t xml:space="preserve">hilst every </w:t>
      </w:r>
      <w:r w:rsidR="00221188">
        <w:rPr>
          <w:rFonts w:cs="Arial"/>
        </w:rPr>
        <w:t>t</w:t>
      </w:r>
      <w:r w:rsidR="00A35C6D" w:rsidRPr="00FF4D52">
        <w:rPr>
          <w:rFonts w:cs="Arial"/>
        </w:rPr>
        <w:t>rust is unique, w</w:t>
      </w:r>
      <w:r w:rsidR="00955EF6" w:rsidRPr="00FF4D52">
        <w:rPr>
          <w:rFonts w:cs="Arial"/>
        </w:rPr>
        <w:t>e recognise th</w:t>
      </w:r>
      <w:r w:rsidRPr="00FF4D52">
        <w:rPr>
          <w:rFonts w:cs="Arial"/>
        </w:rPr>
        <w:t xml:space="preserve">e value of staffing ratios </w:t>
      </w:r>
      <w:r w:rsidR="00A35C6D" w:rsidRPr="00FF4D52">
        <w:rPr>
          <w:rFonts w:cs="Arial"/>
        </w:rPr>
        <w:t xml:space="preserve">as </w:t>
      </w:r>
      <w:r w:rsidR="00E0061B" w:rsidRPr="00FF4D52">
        <w:rPr>
          <w:rFonts w:cs="Arial"/>
        </w:rPr>
        <w:t xml:space="preserve">a vital starting point in </w:t>
      </w:r>
      <w:r w:rsidRPr="00FF4D52">
        <w:rPr>
          <w:rFonts w:cs="Arial"/>
        </w:rPr>
        <w:t>a</w:t>
      </w:r>
      <w:r w:rsidR="00AA0CAD" w:rsidRPr="00FF4D52">
        <w:rPr>
          <w:rFonts w:cs="Arial"/>
        </w:rPr>
        <w:t>ny</w:t>
      </w:r>
      <w:r w:rsidRPr="00FF4D52">
        <w:rPr>
          <w:rFonts w:cs="Arial"/>
        </w:rPr>
        <w:t xml:space="preserve"> </w:t>
      </w:r>
      <w:r w:rsidR="00E0061B" w:rsidRPr="00FF4D52">
        <w:rPr>
          <w:rFonts w:cs="Arial"/>
        </w:rPr>
        <w:t xml:space="preserve">pragmatic </w:t>
      </w:r>
      <w:r w:rsidRPr="00FF4D52">
        <w:rPr>
          <w:rFonts w:cs="Arial"/>
        </w:rPr>
        <w:t xml:space="preserve">workforce planning. </w:t>
      </w:r>
      <w:r w:rsidR="00955EF6" w:rsidRPr="00FF4D52">
        <w:rPr>
          <w:rFonts w:cs="Arial"/>
        </w:rPr>
        <w:t xml:space="preserve">Until such time as </w:t>
      </w:r>
      <w:r w:rsidR="00A35C6D" w:rsidRPr="00FF4D52">
        <w:rPr>
          <w:rFonts w:cs="Arial"/>
        </w:rPr>
        <w:t xml:space="preserve">any </w:t>
      </w:r>
      <w:r w:rsidRPr="00FF4D52">
        <w:rPr>
          <w:rFonts w:cs="Arial"/>
        </w:rPr>
        <w:t>national</w:t>
      </w:r>
      <w:r w:rsidR="00955EF6" w:rsidRPr="00FF4D52">
        <w:rPr>
          <w:rFonts w:cs="Arial"/>
        </w:rPr>
        <w:t xml:space="preserve"> workforce </w:t>
      </w:r>
      <w:r w:rsidR="00AA0CAD" w:rsidRPr="00FF4D52">
        <w:rPr>
          <w:rFonts w:cs="Arial"/>
        </w:rPr>
        <w:t xml:space="preserve">review </w:t>
      </w:r>
      <w:r w:rsidR="00A35C6D" w:rsidRPr="00FF4D52">
        <w:rPr>
          <w:rFonts w:cs="Arial"/>
        </w:rPr>
        <w:t>is commissioned</w:t>
      </w:r>
      <w:r w:rsidR="00955EF6" w:rsidRPr="00FF4D52">
        <w:rPr>
          <w:rFonts w:cs="Arial"/>
        </w:rPr>
        <w:t xml:space="preserve">, these ratios need to be understood as </w:t>
      </w:r>
      <w:r w:rsidR="00E0061B" w:rsidRPr="00FF4D52">
        <w:rPr>
          <w:rFonts w:cs="Arial"/>
        </w:rPr>
        <w:t>a</w:t>
      </w:r>
      <w:r w:rsidR="00AA0CAD" w:rsidRPr="00FF4D52">
        <w:rPr>
          <w:rFonts w:cs="Arial"/>
        </w:rPr>
        <w:t xml:space="preserve"> valuable</w:t>
      </w:r>
      <w:r w:rsidR="00E0061B" w:rsidRPr="00FF4D52">
        <w:rPr>
          <w:rFonts w:cs="Arial"/>
        </w:rPr>
        <w:t xml:space="preserve"> tool </w:t>
      </w:r>
      <w:r w:rsidR="00955EF6" w:rsidRPr="00FF4D52">
        <w:rPr>
          <w:rFonts w:cs="Arial"/>
        </w:rPr>
        <w:t xml:space="preserve">rather than </w:t>
      </w:r>
      <w:r w:rsidR="00A35C6D" w:rsidRPr="00FF4D52">
        <w:rPr>
          <w:rFonts w:cs="Arial"/>
        </w:rPr>
        <w:t xml:space="preserve">offering </w:t>
      </w:r>
      <w:r w:rsidR="00955EF6" w:rsidRPr="00FF4D52">
        <w:rPr>
          <w:rFonts w:cs="Arial"/>
        </w:rPr>
        <w:t xml:space="preserve">a “safe staffing” minimum. </w:t>
      </w:r>
      <w:r w:rsidR="00E0061B" w:rsidRPr="00FF4D52">
        <w:rPr>
          <w:rFonts w:cs="Arial"/>
        </w:rPr>
        <w:t>T</w:t>
      </w:r>
      <w:r w:rsidR="00955EF6" w:rsidRPr="00FF4D52">
        <w:rPr>
          <w:rFonts w:cs="Arial"/>
        </w:rPr>
        <w:t xml:space="preserve">he </w:t>
      </w:r>
      <w:r w:rsidR="00A35C6D" w:rsidRPr="00FF4D52">
        <w:rPr>
          <w:rFonts w:cs="Arial"/>
        </w:rPr>
        <w:t xml:space="preserve">ratios </w:t>
      </w:r>
      <w:r w:rsidR="00AA0CAD" w:rsidRPr="00FF4D52">
        <w:rPr>
          <w:rFonts w:cs="Arial"/>
        </w:rPr>
        <w:t xml:space="preserve">offered </w:t>
      </w:r>
      <w:r w:rsidR="00E0061B" w:rsidRPr="00FF4D52">
        <w:rPr>
          <w:rFonts w:cs="Arial"/>
        </w:rPr>
        <w:t xml:space="preserve">are </w:t>
      </w:r>
      <w:r w:rsidR="00AA0CAD" w:rsidRPr="00221188">
        <w:rPr>
          <w:rFonts w:cs="Arial"/>
        </w:rPr>
        <w:t>built on</w:t>
      </w:r>
      <w:r w:rsidR="00E0061B" w:rsidRPr="00221188">
        <w:rPr>
          <w:rFonts w:cs="Arial"/>
        </w:rPr>
        <w:t xml:space="preserve"> national </w:t>
      </w:r>
      <w:r w:rsidR="00AA0CAD" w:rsidRPr="00221188">
        <w:rPr>
          <w:rFonts w:cs="Arial"/>
        </w:rPr>
        <w:t xml:space="preserve">NHS </w:t>
      </w:r>
      <w:r w:rsidR="00E0061B" w:rsidRPr="00221188">
        <w:rPr>
          <w:rFonts w:cs="Arial"/>
        </w:rPr>
        <w:t xml:space="preserve">guidance issued </w:t>
      </w:r>
      <w:r w:rsidR="00AA0CAD" w:rsidRPr="00221188">
        <w:rPr>
          <w:rFonts w:cs="Arial"/>
        </w:rPr>
        <w:t>(in 2003 and 2015)</w:t>
      </w:r>
      <w:r w:rsidR="00E0061B" w:rsidRPr="00221188">
        <w:rPr>
          <w:rFonts w:cs="Arial"/>
        </w:rPr>
        <w:t>,</w:t>
      </w:r>
      <w:r w:rsidR="00E0061B" w:rsidRPr="00FF4D52">
        <w:rPr>
          <w:rFonts w:cs="Arial"/>
        </w:rPr>
        <w:t xml:space="preserve"> </w:t>
      </w:r>
      <w:r w:rsidR="00A35C6D" w:rsidRPr="00FF4D52">
        <w:rPr>
          <w:rFonts w:cs="Arial"/>
        </w:rPr>
        <w:t>based</w:t>
      </w:r>
      <w:r w:rsidR="00AA0CAD" w:rsidRPr="00FF4D52">
        <w:rPr>
          <w:rFonts w:cs="Arial"/>
        </w:rPr>
        <w:t xml:space="preserve">, </w:t>
      </w:r>
      <w:r w:rsidR="00E0061B" w:rsidRPr="00FF4D52">
        <w:rPr>
          <w:rFonts w:cs="Arial"/>
        </w:rPr>
        <w:t>as most such guidance is</w:t>
      </w:r>
      <w:r w:rsidR="00AA0CAD" w:rsidRPr="00FF4D52">
        <w:rPr>
          <w:rFonts w:cs="Arial"/>
        </w:rPr>
        <w:t>,</w:t>
      </w:r>
      <w:r w:rsidR="00E0061B" w:rsidRPr="00FF4D52">
        <w:rPr>
          <w:rFonts w:cs="Arial"/>
        </w:rPr>
        <w:t xml:space="preserve"> </w:t>
      </w:r>
      <w:r w:rsidR="00A35C6D" w:rsidRPr="00FF4D52">
        <w:rPr>
          <w:rFonts w:cs="Arial"/>
        </w:rPr>
        <w:t>on professional opinion and established practice</w:t>
      </w:r>
      <w:r w:rsidR="00E0061B" w:rsidRPr="00FF4D52">
        <w:rPr>
          <w:rFonts w:cs="Arial"/>
        </w:rPr>
        <w:t xml:space="preserve"> as well as historical reviews of effective teams.</w:t>
      </w:r>
      <w:r w:rsidR="00955EF6" w:rsidRPr="00FF4D52">
        <w:rPr>
          <w:rFonts w:cs="Arial"/>
        </w:rPr>
        <w:t xml:space="preserve"> Without such capacity in place, </w:t>
      </w:r>
      <w:r w:rsidR="00AA0CAD" w:rsidRPr="00FF4D52">
        <w:rPr>
          <w:rFonts w:cs="Arial"/>
        </w:rPr>
        <w:t xml:space="preserve">it will be hard for </w:t>
      </w:r>
      <w:r w:rsidR="00955EF6" w:rsidRPr="00FF4D52">
        <w:rPr>
          <w:rFonts w:cs="Arial"/>
        </w:rPr>
        <w:t xml:space="preserve">teams to offer assurance to their Board or </w:t>
      </w:r>
      <w:r w:rsidR="00AA0CAD" w:rsidRPr="00FF4D52">
        <w:rPr>
          <w:rFonts w:cs="Arial"/>
        </w:rPr>
        <w:t xml:space="preserve">to </w:t>
      </w:r>
      <w:r w:rsidR="00955EF6" w:rsidRPr="00FF4D52">
        <w:rPr>
          <w:rFonts w:cs="Arial"/>
        </w:rPr>
        <w:t xml:space="preserve">the CQC that </w:t>
      </w:r>
      <w:r w:rsidR="00E0061B" w:rsidRPr="00FF4D52">
        <w:rPr>
          <w:rFonts w:cs="Arial"/>
        </w:rPr>
        <w:t xml:space="preserve">the 2023 </w:t>
      </w:r>
      <w:r w:rsidR="00955EF6" w:rsidRPr="00FF4D52">
        <w:rPr>
          <w:rFonts w:cs="Arial"/>
        </w:rPr>
        <w:t>NHS Guidelines are</w:t>
      </w:r>
      <w:r w:rsidR="00C66776">
        <w:rPr>
          <w:rFonts w:cs="Arial"/>
        </w:rPr>
        <w:t xml:space="preserve"> being</w:t>
      </w:r>
      <w:r w:rsidR="00955EF6" w:rsidRPr="00FF4D52">
        <w:rPr>
          <w:rFonts w:cs="Arial"/>
        </w:rPr>
        <w:t xml:space="preserve"> fully met.</w:t>
      </w:r>
    </w:p>
    <w:p w14:paraId="09D10007" w14:textId="77777777" w:rsidR="00955EF6" w:rsidRPr="00FF4D52" w:rsidRDefault="00955EF6" w:rsidP="00FF4D52">
      <w:pPr>
        <w:pStyle w:val="BodyTextNoSpacing"/>
        <w:rPr>
          <w:rFonts w:cs="Arial"/>
        </w:rPr>
      </w:pPr>
    </w:p>
    <w:p w14:paraId="31FAB6E1" w14:textId="77777777" w:rsidR="00FF4D52" w:rsidRPr="00FF4D52" w:rsidRDefault="00FF4D52" w:rsidP="00FF4D52">
      <w:pPr>
        <w:pStyle w:val="BodyTextNoSpacing"/>
        <w:rPr>
          <w:rFonts w:cs="Arial"/>
          <w:i/>
        </w:rPr>
      </w:pPr>
      <w:r w:rsidRPr="00FF4D52">
        <w:rPr>
          <w:rFonts w:cs="Arial"/>
          <w:i/>
        </w:rPr>
        <w:t xml:space="preserve">Table 1 </w:t>
      </w:r>
      <w:r w:rsidR="00E0061B" w:rsidRPr="00FF4D52">
        <w:rPr>
          <w:rFonts w:cs="Arial"/>
          <w:i/>
        </w:rPr>
        <w:t xml:space="preserve">offers </w:t>
      </w:r>
      <w:r w:rsidR="00BF4E79" w:rsidRPr="00FF4D52">
        <w:rPr>
          <w:rFonts w:cs="Arial"/>
          <w:i/>
        </w:rPr>
        <w:t xml:space="preserve">indicative staffing ratios where the standard hours of full-time equivalent (FTE) NHS staff are 37.5 hours per week in accordance with Agenda for Change terms and conditions of service. </w:t>
      </w:r>
    </w:p>
    <w:p w14:paraId="7A46A143" w14:textId="77777777" w:rsidR="00FF4D52" w:rsidRPr="00FF4D52" w:rsidRDefault="00FF4D52" w:rsidP="00FF4D52">
      <w:pPr>
        <w:spacing w:after="160" w:line="360" w:lineRule="atLeast"/>
        <w:rPr>
          <w:rFonts w:cs="Arial"/>
          <w:i/>
        </w:rPr>
      </w:pPr>
      <w:r w:rsidRPr="00FF4D52">
        <w:rPr>
          <w:rFonts w:cs="Arial"/>
          <w:i/>
        </w:rPr>
        <w:br w:type="page"/>
      </w:r>
    </w:p>
    <w:p w14:paraId="02A58B25" w14:textId="77777777" w:rsidR="00FF4D52" w:rsidRDefault="00FF4D52" w:rsidP="00FF4D52">
      <w:pPr>
        <w:pStyle w:val="BodyTextNoSpacing"/>
        <w:rPr>
          <w:rFonts w:cs="Arial"/>
          <w:i/>
          <w:iCs/>
        </w:rPr>
      </w:pPr>
      <w:r w:rsidRPr="00FF4D52">
        <w:rPr>
          <w:rFonts w:cs="Arial"/>
          <w:i/>
          <w:iCs/>
        </w:rPr>
        <w:lastRenderedPageBreak/>
        <w:t>Table 1: Indicative staffing ratios</w:t>
      </w:r>
    </w:p>
    <w:p w14:paraId="23D7AB0A" w14:textId="77777777" w:rsidR="009D5050" w:rsidRPr="00FF4D52" w:rsidRDefault="009D5050" w:rsidP="00FF4D52">
      <w:pPr>
        <w:pStyle w:val="BodyTextNoSpacing"/>
        <w:rPr>
          <w:rFonts w:cs="Arial"/>
          <w:i/>
          <w:iCs/>
        </w:rPr>
      </w:pPr>
    </w:p>
    <w:tbl>
      <w:tblPr>
        <w:tblStyle w:val="GridTable5Dark-Accent6"/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958"/>
        <w:gridCol w:w="1462"/>
        <w:gridCol w:w="3192"/>
      </w:tblGrid>
      <w:tr w:rsidR="0017187F" w:rsidRPr="00430777" w14:paraId="6C268D42" w14:textId="77777777" w:rsidTr="00171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23C952A3" w14:textId="77777777" w:rsidR="00430777" w:rsidRPr="00430777" w:rsidRDefault="00430777" w:rsidP="009D5050">
            <w:pPr>
              <w:spacing w:after="160" w:line="260" w:lineRule="atLeast"/>
              <w:jc w:val="center"/>
              <w:rPr>
                <w:rFonts w:cs="Arial"/>
              </w:rPr>
            </w:pPr>
            <w:bookmarkStart w:id="3" w:name="_Hlk140591935"/>
            <w:r w:rsidRPr="00430777">
              <w:rPr>
                <w:rFonts w:cs="Arial"/>
              </w:rPr>
              <w:t>Setting</w:t>
            </w:r>
          </w:p>
        </w:tc>
        <w:tc>
          <w:tcPr>
            <w:tcW w:w="151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7D7403F0" w14:textId="77777777" w:rsidR="00430777" w:rsidRPr="00430777" w:rsidRDefault="00430777" w:rsidP="009D5050">
            <w:pPr>
              <w:spacing w:after="16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30777">
              <w:rPr>
                <w:rFonts w:cs="Arial"/>
              </w:rPr>
              <w:t>No of FTE chaplaincy staff in relation to patients</w:t>
            </w:r>
          </w:p>
        </w:tc>
        <w:tc>
          <w:tcPr>
            <w:tcW w:w="75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66C80E63" w14:textId="77777777" w:rsidR="00430777" w:rsidRPr="00430777" w:rsidRDefault="00430777" w:rsidP="009D5050">
            <w:pPr>
              <w:spacing w:after="16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30777">
              <w:rPr>
                <w:rFonts w:cs="Arial"/>
              </w:rPr>
              <w:t>No of FTE chaplaincy staff in relation to staff</w:t>
            </w:r>
          </w:p>
        </w:tc>
        <w:tc>
          <w:tcPr>
            <w:tcW w:w="163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23DCE414" w14:textId="77777777" w:rsidR="00430777" w:rsidRPr="00430777" w:rsidRDefault="00430777" w:rsidP="009D5050">
            <w:pPr>
              <w:spacing w:after="16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30777">
              <w:rPr>
                <w:rFonts w:cs="Arial"/>
              </w:rPr>
              <w:t>Notes</w:t>
            </w:r>
          </w:p>
        </w:tc>
      </w:tr>
      <w:tr w:rsidR="0017187F" w:rsidRPr="00430777" w14:paraId="4C74B59B" w14:textId="77777777" w:rsidTr="00171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tcBorders>
              <w:left w:val="none" w:sz="0" w:space="0" w:color="auto"/>
            </w:tcBorders>
            <w:shd w:val="clear" w:color="auto" w:fill="A8D08D" w:themeFill="accent6" w:themeFillTint="99"/>
            <w:hideMark/>
          </w:tcPr>
          <w:p w14:paraId="1E060D72" w14:textId="77777777" w:rsidR="00430777" w:rsidRPr="00430777" w:rsidRDefault="00430777" w:rsidP="009D5050">
            <w:pPr>
              <w:spacing w:after="160" w:line="260" w:lineRule="atLeast"/>
              <w:rPr>
                <w:rFonts w:cs="Arial"/>
              </w:rPr>
            </w:pPr>
            <w:r w:rsidRPr="00430777">
              <w:rPr>
                <w:rFonts w:cs="Arial"/>
              </w:rPr>
              <w:t>Acute Care</w:t>
            </w:r>
          </w:p>
        </w:tc>
        <w:tc>
          <w:tcPr>
            <w:tcW w:w="1518" w:type="pct"/>
            <w:hideMark/>
          </w:tcPr>
          <w:p w14:paraId="693E9A9D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One per 350</w:t>
            </w:r>
            <w:r w:rsidR="009D5050">
              <w:rPr>
                <w:rFonts w:cs="Arial"/>
                <w:sz w:val="22"/>
                <w:szCs w:val="22"/>
              </w:rPr>
              <w:br/>
            </w:r>
            <w:r w:rsidRPr="00430777">
              <w:rPr>
                <w:rFonts w:cs="Arial"/>
                <w:sz w:val="22"/>
                <w:szCs w:val="22"/>
              </w:rPr>
              <w:t>in-patients</w:t>
            </w:r>
          </w:p>
        </w:tc>
        <w:tc>
          <w:tcPr>
            <w:tcW w:w="750" w:type="pct"/>
            <w:hideMark/>
          </w:tcPr>
          <w:p w14:paraId="21BE6ED3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One per 5,000 staff</w:t>
            </w:r>
          </w:p>
        </w:tc>
        <w:tc>
          <w:tcPr>
            <w:tcW w:w="1638" w:type="pct"/>
          </w:tcPr>
          <w:p w14:paraId="21AE5CCF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 xml:space="preserve">For end of life care, add one FTE chaplain for every 24 patients in the last 72 hours of life. </w:t>
            </w:r>
          </w:p>
          <w:p w14:paraId="392B47F8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 xml:space="preserve">Additions suggested for intensive care facilities, regional specialisms, and major trauma centres. </w:t>
            </w:r>
          </w:p>
        </w:tc>
      </w:tr>
      <w:tr w:rsidR="0017187F" w:rsidRPr="00430777" w14:paraId="2BE4B5F7" w14:textId="77777777" w:rsidTr="001718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tcBorders>
              <w:left w:val="none" w:sz="0" w:space="0" w:color="auto"/>
            </w:tcBorders>
            <w:shd w:val="clear" w:color="auto" w:fill="A8D08D" w:themeFill="accent6" w:themeFillTint="99"/>
            <w:hideMark/>
          </w:tcPr>
          <w:p w14:paraId="3467E436" w14:textId="77777777" w:rsidR="00430777" w:rsidRPr="00430777" w:rsidRDefault="00430777" w:rsidP="009D5050">
            <w:pPr>
              <w:spacing w:after="160" w:line="260" w:lineRule="atLeast"/>
              <w:rPr>
                <w:rFonts w:cs="Arial"/>
              </w:rPr>
            </w:pPr>
            <w:r w:rsidRPr="00430777">
              <w:rPr>
                <w:rFonts w:cs="Arial"/>
              </w:rPr>
              <w:t>Palliative and end of life care</w:t>
            </w:r>
          </w:p>
        </w:tc>
        <w:tc>
          <w:tcPr>
            <w:tcW w:w="1518" w:type="pct"/>
            <w:shd w:val="clear" w:color="auto" w:fill="C5E0B3" w:themeFill="accent6" w:themeFillTint="66"/>
            <w:hideMark/>
          </w:tcPr>
          <w:p w14:paraId="10AAAA7C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A minimum of 0.5 for every 15 beds or part thereof</w:t>
            </w:r>
          </w:p>
        </w:tc>
        <w:tc>
          <w:tcPr>
            <w:tcW w:w="750" w:type="pct"/>
            <w:shd w:val="clear" w:color="auto" w:fill="C5E0B3" w:themeFill="accent6" w:themeFillTint="66"/>
          </w:tcPr>
          <w:p w14:paraId="7E5B19BB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pct"/>
            <w:shd w:val="clear" w:color="auto" w:fill="C5E0B3" w:themeFill="accent6" w:themeFillTint="66"/>
          </w:tcPr>
          <w:p w14:paraId="07F70E1A" w14:textId="77777777" w:rsidR="00430777" w:rsidRPr="00430777" w:rsidRDefault="00607B29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</w:t>
            </w:r>
            <w:r w:rsidR="00430777" w:rsidRPr="00430777">
              <w:rPr>
                <w:rFonts w:cs="Arial"/>
                <w:sz w:val="22"/>
                <w:szCs w:val="22"/>
              </w:rPr>
              <w:t>does not apply simply to hospice settings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17187F" w:rsidRPr="00430777" w14:paraId="58A3ADDD" w14:textId="77777777" w:rsidTr="00171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tcBorders>
              <w:left w:val="none" w:sz="0" w:space="0" w:color="auto"/>
            </w:tcBorders>
            <w:shd w:val="clear" w:color="auto" w:fill="A8D08D" w:themeFill="accent6" w:themeFillTint="99"/>
            <w:hideMark/>
          </w:tcPr>
          <w:p w14:paraId="00259941" w14:textId="77777777" w:rsidR="00430777" w:rsidRPr="00430777" w:rsidRDefault="00430777" w:rsidP="009D5050">
            <w:pPr>
              <w:spacing w:after="160" w:line="260" w:lineRule="atLeast"/>
              <w:rPr>
                <w:rFonts w:cs="Arial"/>
              </w:rPr>
            </w:pPr>
            <w:r w:rsidRPr="00430777">
              <w:rPr>
                <w:rFonts w:cs="Arial"/>
              </w:rPr>
              <w:t>Mental health trust</w:t>
            </w:r>
          </w:p>
        </w:tc>
        <w:tc>
          <w:tcPr>
            <w:tcW w:w="1518" w:type="pct"/>
            <w:hideMark/>
          </w:tcPr>
          <w:p w14:paraId="3D7501E5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One per 150</w:t>
            </w:r>
            <w:r w:rsidR="009D5050">
              <w:rPr>
                <w:rFonts w:cs="Arial"/>
                <w:sz w:val="22"/>
                <w:szCs w:val="22"/>
              </w:rPr>
              <w:br/>
            </w:r>
            <w:r w:rsidRPr="00430777">
              <w:rPr>
                <w:rFonts w:cs="Arial"/>
                <w:sz w:val="22"/>
                <w:szCs w:val="22"/>
              </w:rPr>
              <w:t>in-patients; one for every caseload of 35 community patients referred to chaplaincy</w:t>
            </w:r>
          </w:p>
        </w:tc>
        <w:tc>
          <w:tcPr>
            <w:tcW w:w="750" w:type="pct"/>
            <w:hideMark/>
          </w:tcPr>
          <w:p w14:paraId="4CD67945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 xml:space="preserve">One per 2,000 staff </w:t>
            </w:r>
          </w:p>
        </w:tc>
        <w:tc>
          <w:tcPr>
            <w:tcW w:w="1638" w:type="pct"/>
          </w:tcPr>
          <w:p w14:paraId="5AF73471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Additional staff time may need to be allowed where travel time between sites is considerable</w:t>
            </w:r>
          </w:p>
        </w:tc>
      </w:tr>
      <w:tr w:rsidR="0017187F" w:rsidRPr="00430777" w14:paraId="53A6822F" w14:textId="77777777" w:rsidTr="001718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tcBorders>
              <w:left w:val="none" w:sz="0" w:space="0" w:color="auto"/>
            </w:tcBorders>
            <w:shd w:val="clear" w:color="auto" w:fill="A8D08D" w:themeFill="accent6" w:themeFillTint="99"/>
            <w:hideMark/>
          </w:tcPr>
          <w:p w14:paraId="1A51D6D2" w14:textId="77777777" w:rsidR="00430777" w:rsidRPr="00430777" w:rsidRDefault="00430777" w:rsidP="009D5050">
            <w:pPr>
              <w:spacing w:after="160" w:line="260" w:lineRule="atLeast"/>
              <w:rPr>
                <w:rFonts w:cs="Arial"/>
              </w:rPr>
            </w:pPr>
            <w:r w:rsidRPr="00430777">
              <w:rPr>
                <w:rFonts w:cs="Arial"/>
              </w:rPr>
              <w:t>Specialist paediatric</w:t>
            </w:r>
            <w:r w:rsidR="009D5050" w:rsidRPr="007C6821">
              <w:rPr>
                <w:rFonts w:cs="Arial"/>
              </w:rPr>
              <w:t xml:space="preserve"> </w:t>
            </w:r>
            <w:r w:rsidRPr="00430777">
              <w:rPr>
                <w:rFonts w:cs="Arial"/>
              </w:rPr>
              <w:t>/</w:t>
            </w:r>
            <w:r w:rsidR="009D5050" w:rsidRPr="007C6821">
              <w:rPr>
                <w:rFonts w:cs="Arial"/>
              </w:rPr>
              <w:t xml:space="preserve"> </w:t>
            </w:r>
            <w:r w:rsidRPr="00430777">
              <w:rPr>
                <w:rFonts w:cs="Arial"/>
              </w:rPr>
              <w:t>maternity care</w:t>
            </w:r>
          </w:p>
        </w:tc>
        <w:tc>
          <w:tcPr>
            <w:tcW w:w="1518" w:type="pct"/>
            <w:shd w:val="clear" w:color="auto" w:fill="C5E0B3" w:themeFill="accent6" w:themeFillTint="66"/>
          </w:tcPr>
          <w:p w14:paraId="50AB0078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 xml:space="preserve">Specialist children’s hospital </w:t>
            </w:r>
            <w:r w:rsidR="009D5050">
              <w:rPr>
                <w:rFonts w:cs="Arial"/>
                <w:sz w:val="22"/>
                <w:szCs w:val="22"/>
              </w:rPr>
              <w:t>o</w:t>
            </w:r>
            <w:r w:rsidRPr="00430777">
              <w:rPr>
                <w:rFonts w:cs="Arial"/>
                <w:sz w:val="22"/>
                <w:szCs w:val="22"/>
              </w:rPr>
              <w:t>ne per 150 patients</w:t>
            </w:r>
          </w:p>
          <w:p w14:paraId="4B3DCEB0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Additional one per 25 PICU/NICU beds (pro rata)</w:t>
            </w:r>
          </w:p>
          <w:p w14:paraId="1D2F20A3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Maternity</w:t>
            </w:r>
            <w:r w:rsidR="00607B29">
              <w:rPr>
                <w:rFonts w:cs="Arial"/>
                <w:sz w:val="22"/>
                <w:szCs w:val="22"/>
              </w:rPr>
              <w:t>: o</w:t>
            </w:r>
            <w:r w:rsidRPr="00430777">
              <w:rPr>
                <w:rFonts w:cs="Arial"/>
                <w:sz w:val="22"/>
                <w:szCs w:val="22"/>
              </w:rPr>
              <w:t xml:space="preserve">ne per 30 delivery maternity beds (pro rata) </w:t>
            </w:r>
          </w:p>
          <w:p w14:paraId="3403D9DE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Acute hospitals</w:t>
            </w:r>
            <w:r w:rsidR="009D5050">
              <w:rPr>
                <w:rFonts w:cs="Arial"/>
                <w:sz w:val="22"/>
                <w:szCs w:val="22"/>
              </w:rPr>
              <w:t xml:space="preserve"> </w:t>
            </w:r>
            <w:r w:rsidRPr="00430777">
              <w:rPr>
                <w:rFonts w:cs="Arial"/>
                <w:sz w:val="22"/>
                <w:szCs w:val="22"/>
              </w:rPr>
              <w:t>/</w:t>
            </w:r>
            <w:r w:rsidR="009D5050">
              <w:rPr>
                <w:rFonts w:cs="Arial"/>
                <w:sz w:val="22"/>
                <w:szCs w:val="22"/>
              </w:rPr>
              <w:t xml:space="preserve"> </w:t>
            </w:r>
            <w:r w:rsidRPr="00430777">
              <w:rPr>
                <w:rFonts w:cs="Arial"/>
                <w:sz w:val="22"/>
                <w:szCs w:val="22"/>
              </w:rPr>
              <w:t>Hospices</w:t>
            </w:r>
            <w:r w:rsidR="00607B29">
              <w:rPr>
                <w:rFonts w:cs="Arial"/>
                <w:sz w:val="22"/>
                <w:szCs w:val="22"/>
              </w:rPr>
              <w:t>: a</w:t>
            </w:r>
            <w:r w:rsidRPr="00430777">
              <w:rPr>
                <w:rFonts w:cs="Arial"/>
                <w:sz w:val="22"/>
                <w:szCs w:val="22"/>
              </w:rPr>
              <w:t>s above; 0.5 if 20 beds or fewer</w:t>
            </w:r>
          </w:p>
        </w:tc>
        <w:tc>
          <w:tcPr>
            <w:tcW w:w="750" w:type="pct"/>
            <w:shd w:val="clear" w:color="auto" w:fill="C5E0B3" w:themeFill="accent6" w:themeFillTint="66"/>
            <w:hideMark/>
          </w:tcPr>
          <w:p w14:paraId="12C9EC86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One per 3,000 staff</w:t>
            </w:r>
          </w:p>
        </w:tc>
        <w:tc>
          <w:tcPr>
            <w:tcW w:w="1638" w:type="pct"/>
            <w:shd w:val="clear" w:color="auto" w:fill="C5E0B3" w:themeFill="accent6" w:themeFillTint="66"/>
          </w:tcPr>
          <w:p w14:paraId="6783801B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For end of life care, add one FTE chaplain for every 12 patients in the last 72 hours of life.</w:t>
            </w:r>
          </w:p>
          <w:p w14:paraId="3AD68B30" w14:textId="77777777" w:rsidR="00430777" w:rsidRPr="00430777" w:rsidRDefault="00430777" w:rsidP="009D5050">
            <w:pPr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Additions suggested for regional specialisms, major trauma centres, CAMHS.</w:t>
            </w:r>
          </w:p>
        </w:tc>
      </w:tr>
      <w:tr w:rsidR="0017187F" w:rsidRPr="00430777" w14:paraId="1433E2EB" w14:textId="77777777" w:rsidTr="00171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tcBorders>
              <w:left w:val="none" w:sz="0" w:space="0" w:color="auto"/>
              <w:bottom w:val="none" w:sz="0" w:space="0" w:color="auto"/>
            </w:tcBorders>
            <w:shd w:val="clear" w:color="auto" w:fill="A8D08D" w:themeFill="accent6" w:themeFillTint="99"/>
            <w:hideMark/>
          </w:tcPr>
          <w:p w14:paraId="35DD256F" w14:textId="77777777" w:rsidR="00430777" w:rsidRPr="00430777" w:rsidRDefault="00430777" w:rsidP="009D5050">
            <w:pPr>
              <w:spacing w:after="160" w:line="260" w:lineRule="atLeast"/>
              <w:rPr>
                <w:rFonts w:cs="Arial"/>
              </w:rPr>
            </w:pPr>
            <w:r w:rsidRPr="00430777">
              <w:rPr>
                <w:rFonts w:cs="Arial"/>
              </w:rPr>
              <w:t>Primary and community care</w:t>
            </w:r>
          </w:p>
        </w:tc>
        <w:tc>
          <w:tcPr>
            <w:tcW w:w="1518" w:type="pct"/>
            <w:hideMark/>
          </w:tcPr>
          <w:p w14:paraId="7FF1DD6D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One per practice population of 50,000</w:t>
            </w:r>
          </w:p>
        </w:tc>
        <w:tc>
          <w:tcPr>
            <w:tcW w:w="750" w:type="pct"/>
            <w:hideMark/>
          </w:tcPr>
          <w:p w14:paraId="7CC89116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One per 2,500 staff</w:t>
            </w:r>
          </w:p>
        </w:tc>
        <w:tc>
          <w:tcPr>
            <w:tcW w:w="1638" w:type="pct"/>
          </w:tcPr>
          <w:p w14:paraId="3572E7D0" w14:textId="77777777" w:rsidR="00430777" w:rsidRPr="00430777" w:rsidRDefault="00430777" w:rsidP="009D5050">
            <w:pPr>
              <w:spacing w:after="1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30777">
              <w:rPr>
                <w:rFonts w:cs="Arial"/>
                <w:sz w:val="22"/>
                <w:szCs w:val="22"/>
              </w:rPr>
              <w:t>Additional staff time may need to be allowed where travel time between sites is considerable</w:t>
            </w:r>
          </w:p>
        </w:tc>
      </w:tr>
      <w:bookmarkEnd w:id="3"/>
    </w:tbl>
    <w:p w14:paraId="2595085F" w14:textId="77777777" w:rsidR="00430777" w:rsidRPr="00607B29" w:rsidRDefault="00430777" w:rsidP="00607B29">
      <w:pPr>
        <w:rPr>
          <w:rFonts w:cs="Arial"/>
          <w:sz w:val="20"/>
          <w:szCs w:val="20"/>
        </w:rPr>
      </w:pPr>
    </w:p>
    <w:tbl>
      <w:tblPr>
        <w:tblStyle w:val="TableGrid"/>
        <w:tblW w:w="5408" w:type="pct"/>
        <w:tblInd w:w="-365" w:type="dxa"/>
        <w:tblLook w:val="04A0" w:firstRow="1" w:lastRow="0" w:firstColumn="1" w:lastColumn="0" w:noHBand="0" w:noVBand="1"/>
      </w:tblPr>
      <w:tblGrid>
        <w:gridCol w:w="2056"/>
        <w:gridCol w:w="7696"/>
      </w:tblGrid>
      <w:tr w:rsidR="0085242A" w:rsidRPr="00FF4D52" w14:paraId="43BD955E" w14:textId="77777777" w:rsidTr="0017187F">
        <w:tc>
          <w:tcPr>
            <w:tcW w:w="1054" w:type="pct"/>
            <w:shd w:val="clear" w:color="auto" w:fill="A8D08D" w:themeFill="accent6" w:themeFillTint="99"/>
          </w:tcPr>
          <w:p w14:paraId="6822B1E9" w14:textId="77777777" w:rsidR="00844E86" w:rsidRDefault="00844E86" w:rsidP="00844E86">
            <w:pPr>
              <w:pStyle w:val="BodyTextNoSpacing"/>
              <w:spacing w:line="240" w:lineRule="auto"/>
              <w:ind w:right="-253"/>
              <w:rPr>
                <w:rFonts w:cs="Arial"/>
                <w:b/>
              </w:rPr>
            </w:pPr>
          </w:p>
          <w:p w14:paraId="616EE46D" w14:textId="09038C1C" w:rsidR="00AA0CAD" w:rsidRPr="00FF4D52" w:rsidRDefault="00FF4D52" w:rsidP="00844E86">
            <w:pPr>
              <w:pStyle w:val="BodyTextNoSpacing"/>
              <w:spacing w:line="240" w:lineRule="auto"/>
              <w:ind w:right="-253"/>
              <w:rPr>
                <w:rFonts w:cs="Arial"/>
                <w:sz w:val="22"/>
                <w:szCs w:val="22"/>
              </w:rPr>
            </w:pPr>
            <w:r w:rsidRPr="007C6821">
              <w:rPr>
                <w:rFonts w:cs="Arial"/>
                <w:b/>
              </w:rPr>
              <w:t>M</w:t>
            </w:r>
            <w:r w:rsidR="002E16C9" w:rsidRPr="007C6821">
              <w:rPr>
                <w:rFonts w:cs="Arial"/>
                <w:b/>
              </w:rPr>
              <w:t>anagement</w:t>
            </w:r>
            <w:r w:rsidRPr="007C6821">
              <w:rPr>
                <w:rFonts w:cs="Arial"/>
                <w:b/>
              </w:rPr>
              <w:t xml:space="preserve"> </w:t>
            </w:r>
            <w:r w:rsidR="002E16C9" w:rsidRPr="007C6821">
              <w:rPr>
                <w:rFonts w:cs="Arial"/>
                <w:b/>
              </w:rPr>
              <w:t>/</w:t>
            </w:r>
            <w:r w:rsidRPr="007C6821">
              <w:rPr>
                <w:rFonts w:cs="Arial"/>
                <w:b/>
              </w:rPr>
              <w:t xml:space="preserve"> </w:t>
            </w:r>
            <w:r w:rsidR="002E16C9" w:rsidRPr="007C6821">
              <w:rPr>
                <w:rFonts w:cs="Arial"/>
                <w:b/>
              </w:rPr>
              <w:t xml:space="preserve">professional leadership time </w:t>
            </w:r>
          </w:p>
        </w:tc>
        <w:tc>
          <w:tcPr>
            <w:tcW w:w="3946" w:type="pct"/>
            <w:shd w:val="clear" w:color="auto" w:fill="C5E0B3" w:themeFill="accent6" w:themeFillTint="66"/>
          </w:tcPr>
          <w:p w14:paraId="0F3540CC" w14:textId="77777777" w:rsidR="00844E86" w:rsidRDefault="00844E86" w:rsidP="00FF4D52">
            <w:pPr>
              <w:pStyle w:val="BodyTextNoSpacing"/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05984CA" w14:textId="101BA27D" w:rsidR="00AA0CAD" w:rsidRDefault="00FF4D52" w:rsidP="00FF4D52">
            <w:pPr>
              <w:pStyle w:val="BodyTextNoSpacing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 is i</w:t>
            </w:r>
            <w:r w:rsidR="002E16C9" w:rsidRPr="00FF4D52">
              <w:rPr>
                <w:rFonts w:cs="Arial"/>
                <w:sz w:val="22"/>
                <w:szCs w:val="22"/>
              </w:rPr>
              <w:t xml:space="preserve">mportant to allocate </w:t>
            </w:r>
            <w:r w:rsidR="00607B29">
              <w:rPr>
                <w:rFonts w:cs="Arial"/>
                <w:sz w:val="22"/>
                <w:szCs w:val="22"/>
              </w:rPr>
              <w:t xml:space="preserve">such time </w:t>
            </w:r>
            <w:r w:rsidR="002E16C9" w:rsidRPr="00FF4D52">
              <w:rPr>
                <w:rFonts w:cs="Arial"/>
                <w:sz w:val="22"/>
                <w:szCs w:val="22"/>
              </w:rPr>
              <w:t xml:space="preserve">for the Head of Chaplaincy, team leads and supervising chaplains, considering the size of the team and </w:t>
            </w:r>
            <w:r w:rsidR="00AA0CAD" w:rsidRPr="00FF4D52">
              <w:rPr>
                <w:rFonts w:cs="Arial"/>
                <w:sz w:val="22"/>
                <w:szCs w:val="22"/>
              </w:rPr>
              <w:t>depending on circumstances in each provider organisation</w:t>
            </w:r>
            <w:r w:rsidR="002E16C9" w:rsidRPr="00FF4D52">
              <w:rPr>
                <w:rFonts w:cs="Arial"/>
                <w:sz w:val="22"/>
                <w:szCs w:val="22"/>
              </w:rPr>
              <w:t>. S</w:t>
            </w:r>
            <w:r w:rsidR="00AA0CAD" w:rsidRPr="00FF4D52">
              <w:rPr>
                <w:rFonts w:cs="Arial"/>
                <w:sz w:val="22"/>
                <w:szCs w:val="22"/>
              </w:rPr>
              <w:t>mall teams may require an increased allocation in order to meet organisational expectations.</w:t>
            </w:r>
          </w:p>
          <w:p w14:paraId="763E011C" w14:textId="77777777" w:rsidR="00844E86" w:rsidRPr="00FF4D52" w:rsidRDefault="00844E86" w:rsidP="00FF4D52">
            <w:pPr>
              <w:pStyle w:val="BodyTextNoSpacing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B181D46" w14:textId="77777777" w:rsidR="00A35C6D" w:rsidRPr="00FF4D52" w:rsidRDefault="00A35C6D" w:rsidP="00FF4D52">
      <w:pPr>
        <w:pStyle w:val="Heading2"/>
        <w:spacing w:line="360" w:lineRule="atLeast"/>
        <w:rPr>
          <w:rFonts w:cs="Arial"/>
          <w:color w:val="538135" w:themeColor="accent6" w:themeShade="BF"/>
          <w:sz w:val="28"/>
        </w:rPr>
      </w:pPr>
      <w:bookmarkStart w:id="4" w:name="_Hlk140572057"/>
      <w:r w:rsidRPr="00FF4D52">
        <w:rPr>
          <w:rFonts w:cs="Arial"/>
          <w:color w:val="538135" w:themeColor="accent6" w:themeShade="BF"/>
          <w:sz w:val="28"/>
        </w:rPr>
        <w:lastRenderedPageBreak/>
        <w:t>Limitations surrounding the use of staffing ratios</w:t>
      </w:r>
    </w:p>
    <w:bookmarkEnd w:id="4"/>
    <w:p w14:paraId="4727F65F" w14:textId="77777777" w:rsidR="00A35C6D" w:rsidRPr="00FF4D52" w:rsidRDefault="00AA0CAD" w:rsidP="00FF4D52">
      <w:pPr>
        <w:pStyle w:val="BodyTextNoSpacing"/>
        <w:rPr>
          <w:rFonts w:cs="Arial"/>
        </w:rPr>
      </w:pPr>
      <w:r w:rsidRPr="00FF4D52">
        <w:rPr>
          <w:rFonts w:cs="Arial"/>
        </w:rPr>
        <w:t>Services should define their own requirements that satisfy the needs of their organisation in line with this guidance</w:t>
      </w:r>
      <w:r w:rsidR="002E16C9" w:rsidRPr="00FF4D52">
        <w:rPr>
          <w:rFonts w:cs="Arial"/>
        </w:rPr>
        <w:t>, but s</w:t>
      </w:r>
      <w:r w:rsidR="00A35C6D" w:rsidRPr="00FF4D52">
        <w:rPr>
          <w:rFonts w:cs="Arial"/>
        </w:rPr>
        <w:t xml:space="preserve">taffing requirements will vary from </w:t>
      </w:r>
      <w:r w:rsidR="002E16C9" w:rsidRPr="00FF4D52">
        <w:rPr>
          <w:rFonts w:cs="Arial"/>
        </w:rPr>
        <w:t xml:space="preserve">context to context </w:t>
      </w:r>
      <w:r w:rsidR="00A35C6D" w:rsidRPr="00FF4D52">
        <w:rPr>
          <w:rFonts w:cs="Arial"/>
        </w:rPr>
        <w:t xml:space="preserve">and be based on the </w:t>
      </w:r>
      <w:bookmarkStart w:id="5" w:name="_Hlk140572242"/>
      <w:r w:rsidR="00A35C6D" w:rsidRPr="00FF4D52">
        <w:rPr>
          <w:rFonts w:cs="Arial"/>
        </w:rPr>
        <w:t xml:space="preserve">principles of effective </w:t>
      </w:r>
      <w:hyperlink r:id="rId11" w:history="1">
        <w:r w:rsidR="00A35C6D" w:rsidRPr="00FF4D52">
          <w:rPr>
            <w:rStyle w:val="Hyperlink"/>
            <w:rFonts w:cs="Arial"/>
            <w:color w:val="538135" w:themeColor="accent6" w:themeShade="BF"/>
          </w:rPr>
          <w:t>workforce planning</w:t>
        </w:r>
      </w:hyperlink>
      <w:r w:rsidR="00A35C6D" w:rsidRPr="00FF4D52">
        <w:rPr>
          <w:rFonts w:cs="Arial"/>
        </w:rPr>
        <w:t xml:space="preserve"> rather </w:t>
      </w:r>
      <w:bookmarkEnd w:id="5"/>
      <w:r w:rsidR="00A35C6D" w:rsidRPr="00FF4D52">
        <w:rPr>
          <w:rFonts w:cs="Arial"/>
        </w:rPr>
        <w:t>than a simplistic reliance on ratios. Teams vary considerably in size, and many have integrated functions such as bereavement, inclusion, volunteer management and so on which radically affect staffing</w:t>
      </w:r>
      <w:r w:rsidR="002E16C9" w:rsidRPr="00FF4D52">
        <w:rPr>
          <w:rFonts w:cs="Arial"/>
        </w:rPr>
        <w:t xml:space="preserve"> needs</w:t>
      </w:r>
      <w:r w:rsidR="00A35C6D" w:rsidRPr="00FF4D52">
        <w:rPr>
          <w:rFonts w:cs="Arial"/>
        </w:rPr>
        <w:t>.</w:t>
      </w:r>
    </w:p>
    <w:p w14:paraId="63238296" w14:textId="77777777" w:rsidR="00A35C6D" w:rsidRDefault="00A35C6D" w:rsidP="00FF4D52">
      <w:pPr>
        <w:pStyle w:val="BodyTextNoSpacing"/>
        <w:rPr>
          <w:rFonts w:cs="Arial"/>
        </w:rPr>
      </w:pPr>
    </w:p>
    <w:p w14:paraId="645599CB" w14:textId="77777777" w:rsidR="006934BB" w:rsidRPr="00FF4D52" w:rsidRDefault="006934BB" w:rsidP="00FF4D52">
      <w:pPr>
        <w:pStyle w:val="BodyTextNoSpacing"/>
        <w:rPr>
          <w:rFonts w:cs="Arial"/>
        </w:rPr>
      </w:pPr>
    </w:p>
    <w:p w14:paraId="42F9F0C4" w14:textId="77777777" w:rsidR="00A35C6D" w:rsidRPr="00FF4D52" w:rsidRDefault="00A35C6D" w:rsidP="00FF4D52">
      <w:pPr>
        <w:pStyle w:val="BodyTextNoSpacing"/>
        <w:rPr>
          <w:rFonts w:cs="Arial"/>
        </w:rPr>
      </w:pPr>
      <w:r w:rsidRPr="00FF4D52">
        <w:rPr>
          <w:rFonts w:cs="Arial"/>
        </w:rPr>
        <w:t xml:space="preserve">When using the </w:t>
      </w:r>
      <w:r w:rsidR="002E16C9" w:rsidRPr="00FF4D52">
        <w:rPr>
          <w:rFonts w:cs="Arial"/>
        </w:rPr>
        <w:t>ratios offered above</w:t>
      </w:r>
      <w:r w:rsidRPr="00FF4D52">
        <w:rPr>
          <w:rFonts w:cs="Arial"/>
        </w:rPr>
        <w:t>, managers should always take wider factors into account such as</w:t>
      </w:r>
      <w:r w:rsidR="002E16C9" w:rsidRPr="00FF4D52">
        <w:rPr>
          <w:rFonts w:cs="Arial"/>
        </w:rPr>
        <w:t>:</w:t>
      </w:r>
      <w:r w:rsidRPr="00FF4D52">
        <w:rPr>
          <w:rFonts w:cs="Arial"/>
        </w:rPr>
        <w:t xml:space="preserve"> the specific profile and needs of service users (including out-patients), working patterns (including local requirements for round the clock services), job plans of staff, the overall functions and objectives of the department, service user and staff outcome measures. </w:t>
      </w:r>
      <w:r w:rsidR="002E16C9" w:rsidRPr="00FF4D52">
        <w:rPr>
          <w:rFonts w:cs="Arial"/>
        </w:rPr>
        <w:t xml:space="preserve">These ratios have been derived mainly from acute general and mental health inpatient settings, so care needs taking when applying to other settings such as an inpatient </w:t>
      </w:r>
      <w:r w:rsidRPr="00FF4D52">
        <w:rPr>
          <w:rFonts w:cs="Arial"/>
        </w:rPr>
        <w:t>Hospice</w:t>
      </w:r>
      <w:r w:rsidR="002E16C9" w:rsidRPr="00FF4D52">
        <w:rPr>
          <w:rFonts w:cs="Arial"/>
        </w:rPr>
        <w:t xml:space="preserve"> or a GP setting</w:t>
      </w:r>
      <w:r w:rsidRPr="00FF4D52">
        <w:rPr>
          <w:rFonts w:cs="Arial"/>
        </w:rPr>
        <w:t>.</w:t>
      </w:r>
      <w:r w:rsidR="002E16C9" w:rsidRPr="00FF4D52">
        <w:rPr>
          <w:rFonts w:cs="Arial"/>
        </w:rPr>
        <w:t xml:space="preserve"> Despite their limitations, they are offered in the hope of supporting teams who are considering workforce plans as they seek to better deliver the 2023 NHS Guidelines.</w:t>
      </w:r>
    </w:p>
    <w:p w14:paraId="099657E3" w14:textId="77777777" w:rsidR="002E16C9" w:rsidRDefault="002E16C9" w:rsidP="00FF4D52">
      <w:pPr>
        <w:pStyle w:val="BodyTextNoSpacing"/>
        <w:rPr>
          <w:rFonts w:cs="Arial"/>
        </w:rPr>
      </w:pPr>
    </w:p>
    <w:p w14:paraId="67B65A48" w14:textId="77777777" w:rsidR="006934BB" w:rsidRPr="00FF4D52" w:rsidRDefault="006934BB" w:rsidP="00FF4D52">
      <w:pPr>
        <w:pStyle w:val="BodyTextNoSpacing"/>
        <w:rPr>
          <w:rFonts w:cs="Arial"/>
        </w:rPr>
      </w:pPr>
    </w:p>
    <w:p w14:paraId="59B26C8C" w14:textId="00C73106" w:rsidR="00A35C6D" w:rsidRDefault="006934BB" w:rsidP="00FF4D52">
      <w:pPr>
        <w:spacing w:line="360" w:lineRule="atLeast"/>
        <w:rPr>
          <w:rFonts w:cs="Arial"/>
        </w:rPr>
      </w:pPr>
      <w:r>
        <w:rPr>
          <w:rFonts w:cs="Arial"/>
        </w:rPr>
        <w:t xml:space="preserve">All the bodies involved in this guidance, in different ways, have a role in </w:t>
      </w:r>
      <w:r w:rsidR="002E16C9" w:rsidRPr="00FF4D52">
        <w:rPr>
          <w:rFonts w:cs="Arial"/>
        </w:rPr>
        <w:t xml:space="preserve">supporting individual Trusts </w:t>
      </w:r>
      <w:r>
        <w:rPr>
          <w:rFonts w:cs="Arial"/>
        </w:rPr>
        <w:t xml:space="preserve">to consider staffing needs and the shape of the workforce, especially if a Head of </w:t>
      </w:r>
      <w:r w:rsidR="00221188">
        <w:rPr>
          <w:rFonts w:cs="Arial"/>
        </w:rPr>
        <w:t>C</w:t>
      </w:r>
      <w:r>
        <w:rPr>
          <w:rFonts w:cs="Arial"/>
        </w:rPr>
        <w:t>haplaincy is not in post.</w:t>
      </w:r>
    </w:p>
    <w:p w14:paraId="2CFB2262" w14:textId="77777777" w:rsidR="00A65207" w:rsidRDefault="00A65207" w:rsidP="00FF4D52">
      <w:pPr>
        <w:spacing w:line="360" w:lineRule="atLeast"/>
        <w:rPr>
          <w:rFonts w:cs="Arial"/>
        </w:rPr>
      </w:pPr>
    </w:p>
    <w:p w14:paraId="3962D62E" w14:textId="77777777" w:rsidR="00A65207" w:rsidRDefault="00C66776" w:rsidP="00FF4D52">
      <w:pPr>
        <w:spacing w:line="360" w:lineRule="atLeast"/>
        <w:rPr>
          <w:rFonts w:cs="Arial"/>
        </w:rPr>
      </w:pPr>
      <w:hyperlink r:id="rId12" w:history="1">
        <w:r w:rsidR="00A65207" w:rsidRPr="00A65207">
          <w:rPr>
            <w:rStyle w:val="Hyperlink"/>
            <w:rFonts w:cs="Arial"/>
          </w:rPr>
          <w:t>Association of Chaplaincy in General Practice,</w:t>
        </w:r>
      </w:hyperlink>
    </w:p>
    <w:p w14:paraId="1FBF6E9E" w14:textId="77777777" w:rsidR="00A65207" w:rsidRDefault="00C66776" w:rsidP="00FF4D52">
      <w:pPr>
        <w:spacing w:line="360" w:lineRule="atLeast"/>
        <w:rPr>
          <w:rFonts w:cs="Arial"/>
        </w:rPr>
      </w:pPr>
      <w:hyperlink r:id="rId13" w:history="1">
        <w:r w:rsidR="00A65207" w:rsidRPr="00A65207">
          <w:rPr>
            <w:rStyle w:val="Hyperlink"/>
            <w:rFonts w:cs="Arial"/>
          </w:rPr>
          <w:t>Association of Hospice and Palliative Care Chaplains,</w:t>
        </w:r>
      </w:hyperlink>
    </w:p>
    <w:p w14:paraId="0E0356F4" w14:textId="77777777" w:rsidR="00A65207" w:rsidRDefault="00C66776" w:rsidP="00FF4D52">
      <w:pPr>
        <w:spacing w:line="360" w:lineRule="atLeast"/>
        <w:rPr>
          <w:rFonts w:cs="Arial"/>
        </w:rPr>
      </w:pPr>
      <w:hyperlink r:id="rId14" w:history="1">
        <w:r w:rsidR="00A65207" w:rsidRPr="00A65207">
          <w:rPr>
            <w:rStyle w:val="Hyperlink"/>
            <w:rFonts w:cs="Arial"/>
          </w:rPr>
          <w:t>College of Health Care Chaplains,</w:t>
        </w:r>
      </w:hyperlink>
    </w:p>
    <w:p w14:paraId="312B80EB" w14:textId="77777777" w:rsidR="00A65207" w:rsidRDefault="00C66776" w:rsidP="00FF4D52">
      <w:pPr>
        <w:spacing w:line="360" w:lineRule="atLeast"/>
        <w:rPr>
          <w:rFonts w:cs="Arial"/>
        </w:rPr>
      </w:pPr>
      <w:hyperlink r:id="rId15" w:history="1">
        <w:r w:rsidR="00A65207" w:rsidRPr="00A65207">
          <w:rPr>
            <w:rStyle w:val="Hyperlink"/>
            <w:rFonts w:cs="Arial"/>
          </w:rPr>
          <w:t>Network for Pastoral, Spiritual and Religious Care in Health</w:t>
        </w:r>
      </w:hyperlink>
    </w:p>
    <w:p w14:paraId="6CFD8CA3" w14:textId="77777777" w:rsidR="00A65207" w:rsidRPr="00FF4D52" w:rsidRDefault="00C66776" w:rsidP="00FF4D52">
      <w:pPr>
        <w:spacing w:line="360" w:lineRule="atLeast"/>
        <w:rPr>
          <w:rFonts w:cs="Arial"/>
        </w:rPr>
      </w:pPr>
      <w:hyperlink r:id="rId16" w:history="1">
        <w:r w:rsidR="00A65207" w:rsidRPr="00A65207">
          <w:rPr>
            <w:rStyle w:val="Hyperlink"/>
            <w:rFonts w:cs="Arial"/>
          </w:rPr>
          <w:t>UK Board of Healthcare Chaplaincy.</w:t>
        </w:r>
      </w:hyperlink>
    </w:p>
    <w:p w14:paraId="56093E2D" w14:textId="77777777" w:rsidR="002E16C9" w:rsidRDefault="002E16C9" w:rsidP="00FF4D52">
      <w:pPr>
        <w:spacing w:line="360" w:lineRule="atLeast"/>
        <w:rPr>
          <w:rFonts w:cs="Arial"/>
        </w:rPr>
      </w:pPr>
    </w:p>
    <w:p w14:paraId="3BA33304" w14:textId="77777777" w:rsidR="006934BB" w:rsidRPr="00FF4D52" w:rsidRDefault="006934BB" w:rsidP="00FF4D52">
      <w:pPr>
        <w:spacing w:line="360" w:lineRule="atLeast"/>
        <w:rPr>
          <w:rFonts w:cs="Arial"/>
        </w:rPr>
      </w:pPr>
    </w:p>
    <w:p w14:paraId="02520457" w14:textId="77777777" w:rsidR="006934BB" w:rsidRDefault="006934BB" w:rsidP="00FF4D52">
      <w:pPr>
        <w:spacing w:line="360" w:lineRule="atLeast"/>
        <w:jc w:val="right"/>
        <w:rPr>
          <w:rFonts w:cs="Arial"/>
        </w:rPr>
      </w:pPr>
    </w:p>
    <w:p w14:paraId="29172D5F" w14:textId="77777777" w:rsidR="00221188" w:rsidRDefault="00221188" w:rsidP="00FF4D52">
      <w:pPr>
        <w:spacing w:line="360" w:lineRule="atLeast"/>
        <w:jc w:val="right"/>
        <w:rPr>
          <w:rFonts w:cs="Arial"/>
        </w:rPr>
      </w:pPr>
    </w:p>
    <w:p w14:paraId="1F7D3953" w14:textId="77777777" w:rsidR="006934BB" w:rsidRDefault="006934BB" w:rsidP="00FF4D52">
      <w:pPr>
        <w:pBdr>
          <w:bottom w:val="single" w:sz="12" w:space="1" w:color="auto"/>
        </w:pBdr>
        <w:spacing w:line="360" w:lineRule="atLeast"/>
        <w:jc w:val="right"/>
        <w:rPr>
          <w:rFonts w:cs="Arial"/>
        </w:rPr>
      </w:pPr>
    </w:p>
    <w:p w14:paraId="5E7FB54A" w14:textId="77777777" w:rsidR="00221188" w:rsidRDefault="00221188" w:rsidP="00221188">
      <w:pPr>
        <w:rPr>
          <w:rFonts w:cs="Arial"/>
        </w:rPr>
      </w:pPr>
    </w:p>
    <w:p w14:paraId="220CF614" w14:textId="2FCC1C48" w:rsidR="006934BB" w:rsidRPr="006934BB" w:rsidRDefault="006934BB" w:rsidP="00FF4D52">
      <w:pPr>
        <w:spacing w:line="360" w:lineRule="atLeast"/>
        <w:jc w:val="right"/>
        <w:rPr>
          <w:rFonts w:cs="Arial"/>
          <w:color w:val="538135" w:themeColor="accent6" w:themeShade="BF"/>
        </w:rPr>
      </w:pPr>
      <w:r w:rsidRPr="006934BB">
        <w:rPr>
          <w:rFonts w:cs="Arial"/>
          <w:color w:val="538135" w:themeColor="accent6" w:themeShade="BF"/>
        </w:rPr>
        <w:t xml:space="preserve">Chaplaincy staffing ratios: a framework to support workforce planning </w:t>
      </w:r>
      <w:r w:rsidR="00221188">
        <w:rPr>
          <w:rFonts w:cs="Arial"/>
          <w:color w:val="538135" w:themeColor="accent6" w:themeShade="BF"/>
        </w:rPr>
        <w:t>July 2023</w:t>
      </w:r>
    </w:p>
    <w:sectPr w:rsidR="006934BB" w:rsidRPr="006934BB" w:rsidSect="00E1787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7A56" w14:textId="77777777" w:rsidR="001C2A82" w:rsidRDefault="001C2A82" w:rsidP="00227F6B">
      <w:r>
        <w:separator/>
      </w:r>
    </w:p>
  </w:endnote>
  <w:endnote w:type="continuationSeparator" w:id="0">
    <w:p w14:paraId="5CB93B93" w14:textId="77777777" w:rsidR="001C2A82" w:rsidRDefault="001C2A82" w:rsidP="0022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A81D" w14:textId="77777777" w:rsidR="001C2A82" w:rsidRDefault="001C2A82" w:rsidP="00227F6B">
      <w:r>
        <w:separator/>
      </w:r>
    </w:p>
  </w:footnote>
  <w:footnote w:type="continuationSeparator" w:id="0">
    <w:p w14:paraId="542C2264" w14:textId="77777777" w:rsidR="001C2A82" w:rsidRDefault="001C2A82" w:rsidP="00227F6B">
      <w:r>
        <w:continuationSeparator/>
      </w:r>
    </w:p>
  </w:footnote>
  <w:footnote w:id="1">
    <w:p w14:paraId="32F11438" w14:textId="77777777" w:rsidR="00167C0D" w:rsidRDefault="00167C0D" w:rsidP="00BD79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5C6D">
        <w:t xml:space="preserve">The Chaplaincy Forum for Pastoral, Spiritual and Religious Care in Health enables engagement between NHS England and the </w:t>
      </w:r>
      <w:r w:rsidR="00BD790E" w:rsidRPr="00BD790E">
        <w:t>Association of Chaplaincy in General Practice</w:t>
      </w:r>
      <w:r w:rsidR="00A35C6D">
        <w:t xml:space="preserve">, the </w:t>
      </w:r>
      <w:r w:rsidR="00BD790E" w:rsidRPr="00BD790E">
        <w:t>Association of Hospice and Palliative Care Chaplains</w:t>
      </w:r>
      <w:r w:rsidR="00A35C6D">
        <w:t xml:space="preserve">, the </w:t>
      </w:r>
      <w:r w:rsidR="00BD790E" w:rsidRPr="00BD790E">
        <w:t>College of Health Care Chaplains</w:t>
      </w:r>
      <w:r w:rsidR="00A35C6D">
        <w:t xml:space="preserve">, the </w:t>
      </w:r>
      <w:r w:rsidR="00BD790E" w:rsidRPr="00BD790E">
        <w:t>Network for Pastoral, Spiritual and Religious Care in Health</w:t>
      </w:r>
      <w:r w:rsidR="00A35C6D">
        <w:t xml:space="preserve"> and the </w:t>
      </w:r>
      <w:r w:rsidR="00BD790E" w:rsidRPr="00BD790E">
        <w:t>UK Board of Healthcare Chaplaincy</w:t>
      </w:r>
      <w:r w:rsidR="00A35C6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49"/>
    <w:multiLevelType w:val="hybridMultilevel"/>
    <w:tmpl w:val="577E1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2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79"/>
    <w:rsid w:val="00052DCD"/>
    <w:rsid w:val="000D7F24"/>
    <w:rsid w:val="00167C0D"/>
    <w:rsid w:val="0017187F"/>
    <w:rsid w:val="001C2A82"/>
    <w:rsid w:val="00221188"/>
    <w:rsid w:val="00227F6B"/>
    <w:rsid w:val="002C5681"/>
    <w:rsid w:val="002E16C9"/>
    <w:rsid w:val="00430777"/>
    <w:rsid w:val="00484AA2"/>
    <w:rsid w:val="004D4B2A"/>
    <w:rsid w:val="00607B29"/>
    <w:rsid w:val="006934BB"/>
    <w:rsid w:val="0077028B"/>
    <w:rsid w:val="007C6821"/>
    <w:rsid w:val="00844E86"/>
    <w:rsid w:val="0085242A"/>
    <w:rsid w:val="008B6638"/>
    <w:rsid w:val="00955EF6"/>
    <w:rsid w:val="0097003E"/>
    <w:rsid w:val="009D5050"/>
    <w:rsid w:val="00A35C6D"/>
    <w:rsid w:val="00A57AF7"/>
    <w:rsid w:val="00A65207"/>
    <w:rsid w:val="00AA0CAD"/>
    <w:rsid w:val="00BD790E"/>
    <w:rsid w:val="00BF4E79"/>
    <w:rsid w:val="00C66776"/>
    <w:rsid w:val="00E0061B"/>
    <w:rsid w:val="00E17872"/>
    <w:rsid w:val="00ED4DEB"/>
    <w:rsid w:val="00F905D6"/>
    <w:rsid w:val="00FE3AD4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7352"/>
  <w15:chartTrackingRefBased/>
  <w15:docId w15:val="{6D1CD8B4-8D3A-4783-9086-3DF7B7FC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F4E79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F4E79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BF4E79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E79"/>
    <w:rPr>
      <w:rFonts w:ascii="Arial" w:eastAsiaTheme="majorEastAsia" w:hAnsi="Arial" w:cstheme="majorBidi"/>
      <w:color w:val="005EB8"/>
      <w:kern w:val="0"/>
      <w:sz w:val="4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E79"/>
    <w:rPr>
      <w:rFonts w:ascii="Arial" w:eastAsiaTheme="majorEastAsia" w:hAnsi="Arial" w:cstheme="majorBidi"/>
      <w:color w:val="005EB8"/>
      <w:kern w:val="0"/>
      <w:sz w:val="3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BF4E7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E79"/>
    <w:rPr>
      <w:rFonts w:ascii="Arial" w:hAnsi="Arial"/>
      <w:color w:val="231F20"/>
      <w:kern w:val="0"/>
      <w:sz w:val="20"/>
      <w:szCs w:val="20"/>
      <w14:ligatures w14:val="none"/>
    </w:rPr>
  </w:style>
  <w:style w:type="paragraph" w:customStyle="1" w:styleId="BodyTextNoSpacing">
    <w:name w:val="Body Text No Spacing"/>
    <w:basedOn w:val="BodyText"/>
    <w:qFormat/>
    <w:rsid w:val="00BF4E79"/>
    <w:pPr>
      <w:spacing w:after="0" w:line="360" w:lineRule="atLeast"/>
    </w:pPr>
  </w:style>
  <w:style w:type="character" w:styleId="CommentReference">
    <w:name w:val="annotation reference"/>
    <w:basedOn w:val="DefaultParagraphFont"/>
    <w:uiPriority w:val="99"/>
    <w:semiHidden/>
    <w:unhideWhenUsed/>
    <w:rsid w:val="00BF4E79"/>
    <w:rPr>
      <w:sz w:val="16"/>
      <w:szCs w:val="16"/>
    </w:rPr>
  </w:style>
  <w:style w:type="table" w:customStyle="1" w:styleId="NHSTableBrightBlue">
    <w:name w:val="NHS Table Bright Blue"/>
    <w:basedOn w:val="TableNormal"/>
    <w:uiPriority w:val="99"/>
    <w:rsid w:val="00BF4E79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StyleRowBandSize w:val="1"/>
      <w:tblInd w:w="0" w:type="nil"/>
      <w:tblBorders>
        <w:insideH w:val="single" w:sz="4" w:space="0" w:color="0072CE"/>
        <w:insideV w:val="single" w:sz="4" w:space="0" w:color="0072CE"/>
      </w:tblBorders>
      <w:tblCellMar>
        <w:top w:w="113" w:type="dxa"/>
        <w:bottom w:w="113" w:type="dxa"/>
      </w:tblCellMar>
    </w:tblPr>
    <w:tblStylePr w:type="firstRow">
      <w:rPr>
        <w:rFonts w:ascii="Arial Bold" w:hAnsi="Arial Bold" w:hint="default"/>
        <w:b/>
        <w:i w:val="0"/>
        <w:color w:val="FFFFFF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BF4E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4E79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F6B"/>
    <w:rPr>
      <w:rFonts w:ascii="Arial" w:hAnsi="Arial"/>
      <w:color w:val="231F20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27F6B"/>
    <w:rPr>
      <w:vertAlign w:val="superscript"/>
    </w:rPr>
  </w:style>
  <w:style w:type="table" w:styleId="GridTable4-Accent6">
    <w:name w:val="Grid Table 4 Accent 6"/>
    <w:basedOn w:val="TableNormal"/>
    <w:uiPriority w:val="49"/>
    <w:rsid w:val="00BD79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BD79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D79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Grid">
    <w:name w:val="Table Grid"/>
    <w:basedOn w:val="TableNormal"/>
    <w:uiPriority w:val="39"/>
    <w:rsid w:val="00AA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52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1188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hpcc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cgp.co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bhc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wp-content/uploads/2021/04/Developing-workforce-safeguard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twork-health.org.uk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carechaplai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f0f693b-e725-405b-bc74-653e5cadf1ae" xsi:nil="true"/>
    <_ip_UnifiedCompliancePolicyUIAction xmlns="http://schemas.microsoft.com/sharepoint/v3" xsi:nil="true"/>
    <quicknote xmlns="df0f693b-e725-405b-bc74-653e5cadf1ae" xsi:nil="true"/>
    <_ip_UnifiedCompliancePolicyProperties xmlns="http://schemas.microsoft.com/sharepoint/v3" xsi:nil="true"/>
    <lcf76f155ced4ddcb4097134ff3c332f xmlns="df0f693b-e725-405b-bc74-653e5cadf1ae">
      <Terms xmlns="http://schemas.microsoft.com/office/infopath/2007/PartnerControls"/>
    </lcf76f155ced4ddcb4097134ff3c332f>
    <TaxCatchAll xmlns="cccaf3ac-2de9-44d4-aa31-54302fceb5f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76B1DC542F24491809803835768AA" ma:contentTypeVersion="21" ma:contentTypeDescription="Create a new document." ma:contentTypeScope="" ma:versionID="56370152a8c55ef1334d5fdab023f812">
  <xsd:schema xmlns:xsd="http://www.w3.org/2001/XMLSchema" xmlns:xs="http://www.w3.org/2001/XMLSchema" xmlns:p="http://schemas.microsoft.com/office/2006/metadata/properties" xmlns:ns1="http://schemas.microsoft.com/sharepoint/v3" xmlns:ns2="df0f693b-e725-405b-bc74-653e5cadf1ae" xmlns:ns3="1f3d90ea-c6fd-487e-b9d5-4f2e5b67fee4" xmlns:ns4="cccaf3ac-2de9-44d4-aa31-54302fceb5f7" targetNamespace="http://schemas.microsoft.com/office/2006/metadata/properties" ma:root="true" ma:fieldsID="928ea8b0f3b3fe096331cfc19135f7a5" ns1:_="" ns2:_="" ns3:_="" ns4:_="">
    <xsd:import namespace="http://schemas.microsoft.com/sharepoint/v3"/>
    <xsd:import namespace="df0f693b-e725-405b-bc74-653e5cadf1ae"/>
    <xsd:import namespace="1f3d90ea-c6fd-487e-b9d5-4f2e5b67fee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quickno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93b-e725-405b-bc74-653e5cad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quicknote" ma:index="24" nillable="true" ma:displayName="quick note" ma:description="Quick note" ma:format="Dropdown" ma:internalName="quicknote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d90ea-c6fd-487e-b9d5-4f2e5b67f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4405751b-ebb1-433a-8368-d3d195dec532}" ma:internalName="TaxCatchAll" ma:showField="CatchAllData" ma:web="1f3d90ea-c6fd-487e-b9d5-4f2e5b67f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A2DC2-5E7E-4857-9CDC-95B80E8A1359}">
  <ds:schemaRefs>
    <ds:schemaRef ds:uri="http://schemas.microsoft.com/office/2006/metadata/properties"/>
    <ds:schemaRef ds:uri="http://schemas.microsoft.com/office/infopath/2007/PartnerControls"/>
    <ds:schemaRef ds:uri="df0f693b-e725-405b-bc74-653e5cadf1ae"/>
    <ds:schemaRef ds:uri="http://schemas.microsoft.com/sharepoint/v3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41346F86-4325-4B9C-BAF3-71A4B3DF8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0f693b-e725-405b-bc74-653e5cadf1ae"/>
    <ds:schemaRef ds:uri="1f3d90ea-c6fd-487e-b9d5-4f2e5b67fee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7287D-68E4-4DF0-B53A-A9A15615D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FDADA-7A2F-4B1A-8509-E691671B5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Smith</dc:creator>
  <cp:keywords/>
  <dc:description/>
  <cp:lastModifiedBy>Felicity Smith</cp:lastModifiedBy>
  <cp:revision>2</cp:revision>
  <cp:lastPrinted>2023-07-21T11:37:00Z</cp:lastPrinted>
  <dcterms:created xsi:type="dcterms:W3CDTF">2023-07-21T11:38:00Z</dcterms:created>
  <dcterms:modified xsi:type="dcterms:W3CDTF">2023-07-21T11:38:00Z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0x01010098576B1DC542F24491809803835768AA</vt:lpwstr>
  </property>
</Properties>
</file>